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76" w:lineRule="auto"/>
        <w:rPr>
          <w:rFonts w:ascii="Verdana" w:cs="Verdana" w:hAnsi="Verdana" w:eastAsia="Verdana"/>
          <w:b w:val="1"/>
          <w:bCs w:val="1"/>
          <w:caps w:val="0"/>
          <w:smallCaps w:val="0"/>
          <w:strike w:val="0"/>
          <w:dstrike w:val="0"/>
          <w:outline w:val="0"/>
          <w:color w:val="000000"/>
          <w:sz w:val="22"/>
          <w:szCs w:val="22"/>
          <w:u w:val="single" w:color="000000"/>
          <w:shd w:val="nil" w:color="auto" w:fill="auto"/>
          <w:vertAlign w:val="baseline"/>
          <w14:textFill>
            <w14:solidFill>
              <w14:srgbClr w14:val="000000"/>
            </w14:solidFill>
          </w14:textFill>
        </w:rPr>
      </w:pPr>
      <w:r>
        <w:rPr>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drawing xmlns:a="http://schemas.openxmlformats.org/drawingml/2006/main">
          <wp:anchor distT="114300" distB="114300" distL="114300" distR="114300" simplePos="0" relativeHeight="251659264" behindDoc="0" locked="0" layoutInCell="1" allowOverlap="1">
            <wp:simplePos x="0" y="0"/>
            <wp:positionH relativeFrom="page">
              <wp:posOffset>3095623</wp:posOffset>
            </wp:positionH>
            <wp:positionV relativeFrom="page">
              <wp:posOffset>463091</wp:posOffset>
            </wp:positionV>
            <wp:extent cx="1352550" cy="1352550"/>
            <wp:effectExtent l="0" t="0" r="0" b="0"/>
            <wp:wrapSquare wrapText="bothSides" distL="114300" distR="114300" distT="114300" distB="11430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4">
                      <a:extLst/>
                    </a:blip>
                    <a:stretch>
                      <a:fillRect/>
                    </a:stretch>
                  </pic:blipFill>
                  <pic:spPr>
                    <a:xfrm>
                      <a:off x="0" y="0"/>
                      <a:ext cx="1352550" cy="1352550"/>
                    </a:xfrm>
                    <a:prstGeom prst="rect">
                      <a:avLst/>
                    </a:prstGeom>
                    <a:ln w="12700" cap="flat">
                      <a:noFill/>
                      <a:miter lim="400000"/>
                    </a:ln>
                    <a:effectLst/>
                  </pic:spPr>
                </pic:pic>
              </a:graphicData>
            </a:graphic>
          </wp:anchor>
        </w:drawing>
      </w:r>
    </w:p>
    <w:p>
      <w:pPr>
        <w:pStyle w:val="Body"/>
        <w:spacing w:line="276" w:lineRule="auto"/>
        <w:rPr>
          <w:rFonts w:ascii="Verdana" w:cs="Verdana" w:hAnsi="Verdana" w:eastAsia="Verdana"/>
          <w:b w:val="1"/>
          <w:bCs w:val="1"/>
          <w:caps w:val="0"/>
          <w:smallCaps w:val="0"/>
          <w:strike w:val="0"/>
          <w:dstrike w:val="0"/>
          <w:outline w:val="0"/>
          <w:color w:val="000000"/>
          <w:sz w:val="22"/>
          <w:szCs w:val="22"/>
          <w:u w:val="single" w:color="000000"/>
          <w:shd w:val="nil" w:color="auto" w:fill="auto"/>
          <w:vertAlign w:val="baseline"/>
          <w14:textFill>
            <w14:solidFill>
              <w14:srgbClr w14:val="000000"/>
            </w14:solidFill>
          </w14:textFill>
        </w:rPr>
      </w:pPr>
    </w:p>
    <w:p>
      <w:pPr>
        <w:pStyle w:val="Body"/>
        <w:spacing w:line="276" w:lineRule="auto"/>
        <w:rPr>
          <w:rFonts w:ascii="Verdana" w:cs="Verdana" w:hAnsi="Verdana" w:eastAsia="Verdana"/>
          <w:b w:val="1"/>
          <w:bCs w:val="1"/>
          <w:caps w:val="0"/>
          <w:smallCaps w:val="0"/>
          <w:strike w:val="0"/>
          <w:dstrike w:val="0"/>
          <w:outline w:val="0"/>
          <w:color w:val="000000"/>
          <w:sz w:val="22"/>
          <w:szCs w:val="22"/>
          <w:u w:val="single" w:color="000000"/>
          <w:shd w:val="nil" w:color="auto" w:fill="auto"/>
          <w:vertAlign w:val="baseline"/>
          <w14:textFill>
            <w14:solidFill>
              <w14:srgbClr w14:val="000000"/>
            </w14:solidFill>
          </w14:textFill>
        </w:rPr>
      </w:pPr>
    </w:p>
    <w:p>
      <w:pPr>
        <w:pStyle w:val="Body"/>
        <w:spacing w:line="276" w:lineRule="auto"/>
        <w:rPr>
          <w:rFonts w:ascii="Verdana" w:cs="Verdana" w:hAnsi="Verdana" w:eastAsia="Verdana"/>
          <w:b w:val="1"/>
          <w:bCs w:val="1"/>
          <w:caps w:val="0"/>
          <w:smallCaps w:val="0"/>
          <w:strike w:val="0"/>
          <w:dstrike w:val="0"/>
          <w:outline w:val="0"/>
          <w:color w:val="000000"/>
          <w:sz w:val="22"/>
          <w:szCs w:val="22"/>
          <w:u w:val="single" w:color="000000"/>
          <w:shd w:val="nil" w:color="auto" w:fill="auto"/>
          <w:vertAlign w:val="baseline"/>
          <w14:textFill>
            <w14:solidFill>
              <w14:srgbClr w14:val="000000"/>
            </w14:solidFill>
          </w14:textFill>
        </w:rPr>
      </w:pPr>
    </w:p>
    <w:p>
      <w:pPr>
        <w:pStyle w:val="Body"/>
        <w:spacing w:line="276" w:lineRule="auto"/>
        <w:rPr>
          <w:rFonts w:ascii="Verdana" w:cs="Verdana" w:hAnsi="Verdana" w:eastAsia="Verdana"/>
          <w:b w:val="1"/>
          <w:bCs w:val="1"/>
          <w:caps w:val="0"/>
          <w:smallCaps w:val="0"/>
          <w:strike w:val="0"/>
          <w:dstrike w:val="0"/>
          <w:outline w:val="0"/>
          <w:color w:val="000000"/>
          <w:sz w:val="22"/>
          <w:szCs w:val="22"/>
          <w:u w:val="single" w:color="000000"/>
          <w:shd w:val="nil" w:color="auto" w:fill="auto"/>
          <w:vertAlign w:val="baseline"/>
          <w14:textFill>
            <w14:solidFill>
              <w14:srgbClr w14:val="000000"/>
            </w14:solidFill>
          </w14:textFill>
        </w:rPr>
      </w:pPr>
    </w:p>
    <w:p>
      <w:pPr>
        <w:pStyle w:val="Body"/>
        <w:spacing w:line="276" w:lineRule="auto"/>
        <w:rPr>
          <w:rFonts w:ascii="Verdana" w:cs="Verdana" w:hAnsi="Verdana" w:eastAsia="Verdana"/>
          <w:b w:val="1"/>
          <w:bCs w:val="1"/>
          <w:caps w:val="0"/>
          <w:smallCaps w:val="0"/>
          <w:strike w:val="0"/>
          <w:dstrike w:val="0"/>
          <w:outline w:val="0"/>
          <w:color w:val="000000"/>
          <w:sz w:val="22"/>
          <w:szCs w:val="22"/>
          <w:u w:val="single" w:color="000000"/>
          <w:shd w:val="nil" w:color="auto" w:fill="auto"/>
          <w:vertAlign w:val="baseline"/>
          <w14:textFill>
            <w14:solidFill>
              <w14:srgbClr w14:val="000000"/>
            </w14:solidFill>
          </w14:textFill>
        </w:rPr>
      </w:pPr>
    </w:p>
    <w:p>
      <w:pPr>
        <w:pStyle w:val="Body"/>
        <w:spacing w:line="276" w:lineRule="auto"/>
        <w:rPr>
          <w:rFonts w:ascii="Verdana" w:cs="Verdana" w:hAnsi="Verdana" w:eastAsia="Verdana"/>
          <w:b w:val="1"/>
          <w:bCs w:val="1"/>
          <w:caps w:val="0"/>
          <w:smallCaps w:val="0"/>
          <w:strike w:val="0"/>
          <w:dstrike w:val="0"/>
          <w:outline w:val="0"/>
          <w:color w:val="000000"/>
          <w:sz w:val="22"/>
          <w:szCs w:val="22"/>
          <w:u w:val="single" w:color="000000"/>
          <w:shd w:val="nil" w:color="auto" w:fill="auto"/>
          <w:vertAlign w:val="baseline"/>
          <w14:textFill>
            <w14:solidFill>
              <w14:srgbClr w14:val="000000"/>
            </w14:solidFill>
          </w14:textFill>
        </w:rPr>
      </w:pPr>
    </w:p>
    <w:p>
      <w:pPr>
        <w:pStyle w:val="Body"/>
        <w:spacing w:line="276" w:lineRule="auto"/>
        <w:rPr>
          <w:rFonts w:ascii="Verdana" w:cs="Verdana" w:hAnsi="Verdana" w:eastAsia="Verdana"/>
          <w:b w:val="1"/>
          <w:bCs w:val="1"/>
          <w:caps w:val="0"/>
          <w:smallCaps w:val="0"/>
          <w:strike w:val="0"/>
          <w:dstrike w:val="0"/>
          <w:outline w:val="0"/>
          <w:color w:val="000000"/>
          <w:sz w:val="22"/>
          <w:szCs w:val="22"/>
          <w:u w:val="single" w:color="000000"/>
          <w:shd w:val="nil" w:color="auto" w:fill="auto"/>
          <w:vertAlign w:val="baseline"/>
          <w14:textFill>
            <w14:solidFill>
              <w14:srgbClr w14:val="000000"/>
            </w14:solidFill>
          </w14:textFill>
        </w:rPr>
      </w:pPr>
    </w:p>
    <w:p>
      <w:pPr>
        <w:pStyle w:val="Body"/>
        <w:spacing w:line="276" w:lineRule="auto"/>
        <w:rPr>
          <w:rFonts w:ascii="Verdana" w:cs="Verdana" w:hAnsi="Verdana" w:eastAsia="Verdana"/>
          <w:b w:val="1"/>
          <w:bCs w:val="1"/>
          <w:caps w:val="0"/>
          <w:smallCaps w:val="0"/>
          <w:strike w:val="0"/>
          <w:dstrike w:val="0"/>
          <w:outline w:val="0"/>
          <w:color w:val="000000"/>
          <w:sz w:val="22"/>
          <w:szCs w:val="22"/>
          <w:u w:val="single" w:color="000000"/>
          <w:shd w:val="nil" w:color="auto" w:fill="auto"/>
          <w:vertAlign w:val="baseline"/>
          <w14:textFill>
            <w14:solidFill>
              <w14:srgbClr w14:val="000000"/>
            </w14:solidFill>
          </w14:textFill>
        </w:rPr>
      </w:pPr>
    </w:p>
    <w:p>
      <w:pPr>
        <w:pStyle w:val="Body"/>
        <w:spacing w:line="276" w:lineRule="auto"/>
        <w:jc w:val="center"/>
        <w:rPr>
          <w:rFonts w:ascii="Verdana" w:cs="Verdana" w:hAnsi="Verdana" w:eastAsia="Verdana"/>
          <w:b w:val="1"/>
          <w:bCs w:val="1"/>
          <w:caps w:val="0"/>
          <w:smallCaps w:val="0"/>
          <w:strike w:val="0"/>
          <w:dstrike w:val="0"/>
          <w:outline w:val="0"/>
          <w:color w:val="000000"/>
          <w:sz w:val="22"/>
          <w:szCs w:val="22"/>
          <w:u w:val="single" w:color="000000"/>
          <w:shd w:val="nil" w:color="auto" w:fill="auto"/>
          <w:vertAlign w:val="baseline"/>
          <w14:textFill>
            <w14:solidFill>
              <w14:srgbClr w14:val="000000"/>
            </w14:solidFill>
          </w14:textFill>
        </w:rPr>
      </w:pPr>
      <w:r>
        <w:rPr>
          <w:rFonts w:ascii="Verdana" w:hAnsi="Verdana"/>
          <w:b w:val="1"/>
          <w:bCs w:val="1"/>
          <w:caps w:val="0"/>
          <w:smallCaps w:val="0"/>
          <w:strike w:val="0"/>
          <w:dstrike w:val="0"/>
          <w:outline w:val="0"/>
          <w:color w:val="000000"/>
          <w:sz w:val="22"/>
          <w:szCs w:val="22"/>
          <w:u w:val="single" w:color="000000"/>
          <w:shd w:val="nil" w:color="auto" w:fill="auto"/>
          <w:vertAlign w:val="baseline"/>
          <w:rtl w:val="0"/>
          <w:lang w:val="en-US"/>
          <w14:textFill>
            <w14:solidFill>
              <w14:srgbClr w14:val="000000"/>
            </w14:solidFill>
          </w14:textFill>
        </w:rPr>
        <w:t>Forum Central Glossary of Terms, Abbreviations &amp; Acronyms</w:t>
      </w:r>
    </w:p>
    <w:p>
      <w:pPr>
        <w:pStyle w:val="Body"/>
        <w:spacing w:line="276" w:lineRule="auto"/>
        <w:rPr>
          <w:rFonts w:ascii="Verdana" w:cs="Verdana" w:hAnsi="Verdana" w:eastAsia="Verdana"/>
          <w:b w:val="1"/>
          <w:bCs w:val="1"/>
          <w:caps w:val="0"/>
          <w:smallCaps w:val="0"/>
          <w:strike w:val="0"/>
          <w:dstrike w:val="0"/>
          <w:outline w:val="0"/>
          <w:color w:val="000000"/>
          <w:sz w:val="22"/>
          <w:szCs w:val="22"/>
          <w:u w:val="single" w:color="000000"/>
          <w:shd w:val="nil" w:color="auto" w:fill="auto"/>
          <w:vertAlign w:val="baseline"/>
          <w14:textFill>
            <w14:solidFill>
              <w14:srgbClr w14:val="000000"/>
            </w14:solidFill>
          </w14:textFill>
        </w:rPr>
      </w:pPr>
    </w:p>
    <w:p>
      <w:pPr>
        <w:pStyle w:val="Body"/>
        <w:spacing w:line="276" w:lineRule="auto"/>
        <w:rPr>
          <w:rFonts w:ascii="Verdana" w:cs="Verdana" w:hAnsi="Verdana" w:eastAsia="Verdana"/>
          <w:b w:val="1"/>
          <w:bCs w:val="1"/>
          <w:caps w:val="0"/>
          <w:smallCaps w:val="0"/>
          <w:strike w:val="0"/>
          <w:dstrike w:val="0"/>
          <w:outline w:val="0"/>
          <w:color w:val="000000"/>
          <w:sz w:val="20"/>
          <w:szCs w:val="20"/>
          <w:u w:val="single" w:color="000000"/>
          <w:shd w:val="nil" w:color="auto" w:fill="auto"/>
          <w:vertAlign w:val="baseline"/>
          <w14:textFill>
            <w14:solidFill>
              <w14:srgbClr w14:val="000000"/>
            </w14:solidFill>
          </w14:textFill>
        </w:rPr>
      </w:pPr>
    </w:p>
    <w:tbl>
      <w:tblPr>
        <w:tblW w:w="9525" w:type="dxa"/>
        <w:jc w:val="left"/>
        <w:tblInd w:w="7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00"/>
        <w:gridCol w:w="2445"/>
        <w:gridCol w:w="630"/>
        <w:gridCol w:w="4950"/>
      </w:tblGrid>
      <w:tr>
        <w:tblPrEx>
          <w:shd w:val="clear" w:color="auto" w:fill="ced7e7"/>
        </w:tblPrEx>
        <w:trPr>
          <w:trHeight w:val="540"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b w:val="1"/>
                <w:bCs w:val="1"/>
                <w:sz w:val="20"/>
                <w:szCs w:val="20"/>
                <w:shd w:val="nil" w:color="auto" w:fill="auto"/>
                <w:rtl w:val="0"/>
                <w:lang w:val="en-US"/>
              </w:rPr>
              <w:t>Acronym</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b w:val="1"/>
                <w:bCs w:val="1"/>
                <w:sz w:val="20"/>
                <w:szCs w:val="20"/>
                <w:shd w:val="nil" w:color="auto" w:fill="auto"/>
                <w:rtl w:val="0"/>
                <w:lang w:val="en-US"/>
              </w:rPr>
              <w:t>Meaning</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b w:val="1"/>
                <w:bCs w:val="1"/>
                <w:sz w:val="20"/>
                <w:szCs w:val="20"/>
                <w:shd w:val="nil" w:color="auto" w:fill="auto"/>
                <w:rtl w:val="0"/>
                <w:lang w:val="en-US"/>
              </w:rPr>
              <w:t xml:space="preserve">Definition/useful information </w:t>
            </w:r>
          </w:p>
        </w:tc>
      </w:tr>
      <w:tr>
        <w:tblPrEx>
          <w:shd w:val="clear" w:color="auto" w:fill="ced7e7"/>
        </w:tblPrEx>
        <w:trPr>
          <w:trHeight w:val="964"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ABCD</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Asset Based Community Development</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Verdana" w:hAnsi="Verdana"/>
                <w:sz w:val="20"/>
                <w:szCs w:val="20"/>
                <w:shd w:val="nil" w:color="auto" w:fill="auto"/>
                <w:rtl w:val="0"/>
                <w:lang w:val="en-US"/>
              </w:rPr>
              <w:t>A methodology for the sustainable development of communities based on their strengths and potentials</w:t>
            </w:r>
          </w:p>
        </w:tc>
      </w:tr>
      <w:tr>
        <w:tblPrEx>
          <w:shd w:val="clear" w:color="auto" w:fill="ced7e7"/>
        </w:tblPrEx>
        <w:trPr>
          <w:trHeight w:val="1088"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ALaDDIN</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Autism and Learning Disability Digital Inclusion Network</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outline w:val="0"/>
                <w:color w:val="202124"/>
                <w:sz w:val="20"/>
                <w:szCs w:val="20"/>
                <w:u w:color="202124"/>
                <w:shd w:val="clear" w:color="auto" w:fill="ffffff"/>
                <w:rtl w:val="0"/>
                <w:lang w:val="en-US"/>
                <w14:textFill>
                  <w14:solidFill>
                    <w14:srgbClr w14:val="202124"/>
                  </w14:solidFill>
                </w14:textFill>
              </w:rPr>
              <w:t>A group of 20 third-sector organisations Leeds working to improve digital inclusion and participation for people with autism or learning disabilities</w:t>
            </w:r>
          </w:p>
        </w:tc>
      </w:tr>
      <w:tr>
        <w:tblPrEx>
          <w:shd w:val="clear" w:color="auto" w:fill="ced7e7"/>
        </w:tblPrEx>
        <w:trPr>
          <w:trHeight w:val="540"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ASC</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Adult Social Care</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40"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BAME</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 xml:space="preserve">Black, Asian and Minority Ethnic </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088"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BLB</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Better Lives Board</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outline w:val="0"/>
                <w:color w:val="222222"/>
                <w:sz w:val="20"/>
                <w:szCs w:val="20"/>
                <w:u w:color="222222"/>
                <w:shd w:val="clear" w:color="auto" w:fill="ffffff"/>
                <w:rtl w:val="0"/>
                <w:lang w:val="en-US"/>
                <w14:textFill>
                  <w14:solidFill>
                    <w14:srgbClr w14:val="222222"/>
                  </w14:solidFill>
                </w14:textFill>
              </w:rPr>
              <w:t>Brings together Leeds City Council</w:t>
            </w:r>
            <w:r>
              <w:rPr>
                <w:rFonts w:ascii="Verdana" w:hAnsi="Verdana" w:hint="default"/>
                <w:outline w:val="0"/>
                <w:color w:val="222222"/>
                <w:sz w:val="20"/>
                <w:szCs w:val="20"/>
                <w:u w:color="222222"/>
                <w:shd w:val="clear" w:color="auto" w:fill="ffffff"/>
                <w:rtl w:val="0"/>
                <w:lang w:val="en-US"/>
                <w14:textFill>
                  <w14:solidFill>
                    <w14:srgbClr w14:val="222222"/>
                  </w14:solidFill>
                </w14:textFill>
              </w:rPr>
              <w:t>’</w:t>
            </w:r>
            <w:r>
              <w:rPr>
                <w:rFonts w:ascii="Verdana" w:hAnsi="Verdana"/>
                <w:outline w:val="0"/>
                <w:color w:val="222222"/>
                <w:sz w:val="20"/>
                <w:szCs w:val="20"/>
                <w:u w:color="222222"/>
                <w:shd w:val="clear" w:color="auto" w:fill="ffffff"/>
                <w:rtl w:val="0"/>
                <w:lang w:val="en-US"/>
                <w14:textFill>
                  <w14:solidFill>
                    <w14:srgbClr w14:val="222222"/>
                  </w14:solidFill>
                </w14:textFill>
              </w:rPr>
              <w:t xml:space="preserve">s Adults and Health Directorate and people with lived experience of Health and Care support/services </w:t>
            </w:r>
          </w:p>
        </w:tc>
      </w:tr>
      <w:tr>
        <w:tblPrEx>
          <w:shd w:val="clear" w:color="auto" w:fill="ced7e7"/>
        </w:tblPrEx>
        <w:trPr>
          <w:trHeight w:val="540"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BLM</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Black Lives Matter</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740"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CCG</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Clinical Commissioning Group</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Verdana" w:hAnsi="Verdana"/>
                <w:sz w:val="20"/>
                <w:szCs w:val="20"/>
                <w:shd w:val="nil" w:color="auto" w:fill="auto"/>
                <w:rtl w:val="0"/>
                <w:lang w:val="en-US"/>
              </w:rPr>
              <w:t>A group of general practices (GPs) which come together in each area to commission the best services for their patients and population</w:t>
            </w:r>
          </w:p>
        </w:tc>
      </w:tr>
      <w:tr>
        <w:tblPrEx>
          <w:shd w:val="clear" w:color="auto" w:fill="ced7e7"/>
        </w:tblPrEx>
        <w:trPr>
          <w:trHeight w:val="1220"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CEV</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 xml:space="preserve">Clinically Extremely Vulnerable </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Verdana" w:hAnsi="Verdana"/>
                <w:sz w:val="20"/>
                <w:szCs w:val="20"/>
                <w:shd w:val="nil" w:color="auto" w:fill="auto"/>
                <w:rtl w:val="0"/>
                <w:lang w:val="en-US"/>
              </w:rPr>
              <w:t>A cohort of people who are at high risk of severe illness from coronavirus and have been advised to shield at certain points of the pandemic to reduce their risk of catching the virus</w:t>
            </w:r>
          </w:p>
        </w:tc>
      </w:tr>
      <w:tr>
        <w:tblPrEx>
          <w:shd w:val="clear" w:color="auto" w:fill="ced7e7"/>
        </w:tblPrEx>
        <w:trPr>
          <w:trHeight w:val="1916"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CIC</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 xml:space="preserve">Community Interest Company </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A</w:t>
            </w:r>
            <w:r>
              <w:rPr>
                <w:rFonts w:ascii="Verdana" w:hAnsi="Verdana"/>
                <w:outline w:val="0"/>
                <w:color w:val="202122"/>
                <w:sz w:val="20"/>
                <w:szCs w:val="20"/>
                <w:u w:color="202122"/>
                <w:shd w:val="clear" w:color="auto" w:fill="ffffff"/>
                <w:rtl w:val="0"/>
                <w:lang w:val="en-US"/>
                <w14:textFill>
                  <w14:solidFill>
                    <w14:srgbClr w14:val="202122"/>
                  </w14:solidFill>
                </w14:textFill>
              </w:rPr>
              <w:t xml:space="preserve"> Third Sector organisation which is a  social enterprise that uses profits and assets for the public good. CICs are intended to be easy to set up, with all the flexibility and certainty of the company form, but with some special features to ensure they are working for the benefit of the community.</w:t>
            </w:r>
          </w:p>
        </w:tc>
      </w:tr>
      <w:tr>
        <w:tblPrEx>
          <w:shd w:val="clear" w:color="auto" w:fill="ced7e7"/>
        </w:tblPrEx>
        <w:trPr>
          <w:trHeight w:val="536"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CLASP</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Citywide Anti Stigma Partnership</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812"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CBMHR</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Community Based Mental Health Reviews</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639"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CMHT</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Community Mental Health Teams</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Support or treat people with mental illness in a community setting</w:t>
            </w:r>
          </w:p>
        </w:tc>
      </w:tr>
      <w:tr>
        <w:tblPrEx>
          <w:shd w:val="clear" w:color="auto" w:fill="ced7e7"/>
        </w:tblPrEx>
        <w:trPr>
          <w:trHeight w:val="1196"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 xml:space="preserve">CoI </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 xml:space="preserve">Communities of Interest </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Groups of people who share an identity, for example people with a learning disability, or those who share an experience, for example the homeless community</w:t>
            </w:r>
          </w:p>
        </w:tc>
      </w:tr>
      <w:tr>
        <w:tblPrEx>
          <w:shd w:val="clear" w:color="auto" w:fill="ced7e7"/>
        </w:tblPrEx>
        <w:trPr>
          <w:trHeight w:val="812"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COMHAD</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 xml:space="preserve">Co occuring Mental health/Drug And Alcohol Misuse </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Previously known as Dual Diagnosis</w:t>
            </w:r>
          </w:p>
        </w:tc>
      </w:tr>
      <w:tr>
        <w:tblPrEx>
          <w:shd w:val="clear" w:color="auto" w:fill="ced7e7"/>
        </w:tblPrEx>
        <w:trPr>
          <w:trHeight w:val="536"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spacing w:line="276" w:lineRule="auto"/>
            </w:pPr>
            <w:r>
              <w:rPr>
                <w:rFonts w:ascii="Verdana" w:hAnsi="Verdana"/>
                <w:sz w:val="20"/>
                <w:szCs w:val="20"/>
                <w:shd w:val="nil" w:color="auto" w:fill="auto"/>
                <w:rtl w:val="0"/>
                <w:lang w:val="en-US"/>
              </w:rPr>
              <w:t>CQC</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 xml:space="preserve">Care Quality Commission </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The independent regulator of all health and social care services in England</w:t>
            </w:r>
          </w:p>
        </w:tc>
      </w:tr>
      <w:tr>
        <w:tblPrEx>
          <w:shd w:val="clear" w:color="auto" w:fill="ced7e7"/>
        </w:tblPrEx>
        <w:trPr>
          <w:trHeight w:val="540"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CYP</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Children and Young People</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639"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DAWN</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 xml:space="preserve">Disability And Wellbeing Network </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A group of staff at Leeds City Council promoting ability not disability</w:t>
            </w:r>
          </w:p>
        </w:tc>
      </w:tr>
      <w:tr>
        <w:tblPrEx>
          <w:shd w:val="clear" w:color="auto" w:fill="ced7e7"/>
        </w:tblPrEx>
        <w:trPr>
          <w:trHeight w:val="1088"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DGL</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Doing Good Leeds</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A website which acts as the Hub for the for the voluntary, community and social enterprise sector (third sector) in Leeds, operated by Voluntary Action Leeds</w:t>
            </w:r>
          </w:p>
        </w:tc>
      </w:tr>
      <w:tr>
        <w:tblPrEx>
          <w:shd w:val="clear" w:color="auto" w:fill="ced7e7"/>
        </w:tblPrEx>
        <w:trPr>
          <w:trHeight w:val="1108"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GP Confed</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Leeds GP Confederation</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Verdana" w:hAnsi="Verdana"/>
                <w:sz w:val="20"/>
                <w:szCs w:val="20"/>
                <w:shd w:val="nil" w:color="auto" w:fill="auto"/>
                <w:rtl w:val="0"/>
                <w:lang w:val="en-US"/>
              </w:rPr>
              <w:t xml:space="preserve">This is a </w:t>
            </w:r>
            <w:r>
              <w:rPr>
                <w:rFonts w:ascii="Verdana" w:hAnsi="Verdana" w:hint="default"/>
                <w:sz w:val="20"/>
                <w:szCs w:val="20"/>
                <w:shd w:val="nil" w:color="auto" w:fill="auto"/>
                <w:rtl w:val="0"/>
                <w:lang w:val="en-US"/>
              </w:rPr>
              <w:t>‘</w:t>
            </w:r>
            <w:r>
              <w:rPr>
                <w:rFonts w:ascii="Verdana" w:hAnsi="Verdana"/>
                <w:sz w:val="20"/>
                <w:szCs w:val="20"/>
                <w:shd w:val="nil" w:color="auto" w:fill="auto"/>
                <w:rtl w:val="0"/>
                <w:lang w:val="en-US"/>
              </w:rPr>
              <w:t>not for profit social enterprise,</w:t>
            </w:r>
            <w:r>
              <w:rPr>
                <w:rFonts w:ascii="Verdana" w:hAnsi="Verdana" w:hint="default"/>
                <w:sz w:val="20"/>
                <w:szCs w:val="20"/>
                <w:shd w:val="nil" w:color="auto" w:fill="auto"/>
                <w:rtl w:val="0"/>
                <w:lang w:val="en-US"/>
              </w:rPr>
              <w:t xml:space="preserve">’ </w:t>
            </w:r>
            <w:r>
              <w:rPr>
                <w:rFonts w:ascii="Verdana" w:hAnsi="Verdana"/>
                <w:sz w:val="20"/>
                <w:szCs w:val="20"/>
                <w:shd w:val="nil" w:color="auto" w:fill="auto"/>
                <w:rtl w:val="0"/>
                <w:lang w:val="en-US"/>
              </w:rPr>
              <w:t>working to improve the health of the people of Leeds by strengthening and sustaining primary care</w:t>
            </w:r>
          </w:p>
        </w:tc>
      </w:tr>
      <w:tr>
        <w:tblPrEx>
          <w:shd w:val="clear" w:color="auto" w:fill="ced7e7"/>
        </w:tblPrEx>
        <w:trPr>
          <w:trHeight w:val="536"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FC</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 xml:space="preserve">Forum Central </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The collective voice for the health &amp; social care third sector in Leeds</w:t>
            </w:r>
          </w:p>
        </w:tc>
      </w:tr>
      <w:tr>
        <w:tblPrEx>
          <w:shd w:val="clear" w:color="auto" w:fill="ced7e7"/>
        </w:tblPrEx>
        <w:trPr>
          <w:trHeight w:val="595"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H&amp;C</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Health &amp; Care</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95"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H&amp;SC</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Health &amp; Social Care</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088"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HPoC</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 xml:space="preserve">Harnessing the Power of Communities </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West Yorkshire &amp; Harrogate programme to establish relationships with communities built around good work on the co-production of services and care</w:t>
            </w:r>
          </w:p>
        </w:tc>
      </w:tr>
      <w:tr>
        <w:tblPrEx>
          <w:shd w:val="clear" w:color="auto" w:fill="ced7e7"/>
        </w:tblPrEx>
        <w:trPr>
          <w:trHeight w:val="812"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HW</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 xml:space="preserve">Healthwatch </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Independent watchdog ensuring people</w:t>
            </w:r>
            <w:r>
              <w:rPr>
                <w:rFonts w:ascii="Verdana" w:hAnsi="Verdana" w:hint="default"/>
                <w:sz w:val="20"/>
                <w:szCs w:val="20"/>
                <w:shd w:val="nil" w:color="auto" w:fill="auto"/>
                <w:rtl w:val="0"/>
                <w:lang w:val="en-US"/>
              </w:rPr>
              <w:t>’</w:t>
            </w:r>
            <w:r>
              <w:rPr>
                <w:rFonts w:ascii="Verdana" w:hAnsi="Verdana"/>
                <w:sz w:val="20"/>
                <w:szCs w:val="20"/>
                <w:shd w:val="nil" w:color="auto" w:fill="auto"/>
                <w:rtl w:val="0"/>
                <w:lang w:val="en-US"/>
              </w:rPr>
              <w:t>s voices are at the heart of shaping health and care services in Leeds</w:t>
            </w:r>
          </w:p>
        </w:tc>
      </w:tr>
      <w:tr>
        <w:tblPrEx>
          <w:shd w:val="clear" w:color="auto" w:fill="ced7e7"/>
        </w:tblPrEx>
        <w:trPr>
          <w:trHeight w:val="812"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IAPT</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 xml:space="preserve">Increasing Access to Psychological Therapies </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A national initiative, in Leeds now under Leeds Mental Wellbeing Service (see LMWMS below)</w:t>
            </w:r>
          </w:p>
        </w:tc>
      </w:tr>
      <w:tr>
        <w:tblPrEx>
          <w:shd w:val="clear" w:color="auto" w:fill="ced7e7"/>
        </w:tblPrEx>
        <w:trPr>
          <w:trHeight w:val="812"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ICP</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Integrated Care Pathways</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Multidisciplinary outlines of anticipated care, placed in an appropriate timeframe, to help patients with a specific condition</w:t>
            </w:r>
          </w:p>
        </w:tc>
      </w:tr>
      <w:tr>
        <w:tblPrEx>
          <w:shd w:val="clear" w:color="auto" w:fill="ced7e7"/>
        </w:tblPrEx>
        <w:trPr>
          <w:trHeight w:val="1916"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 xml:space="preserve">ICS </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Integrated Care System</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Partnership that brings together providers and commissioners of NHS services across a geographical area with local authorities and other local partners, to collectively plan and integrate care to meet the needs of their population. Also referred to as WYH/WYHP regionally</w:t>
            </w:r>
          </w:p>
        </w:tc>
      </w:tr>
      <w:tr>
        <w:tblPrEx>
          <w:shd w:val="clear" w:color="auto" w:fill="ced7e7"/>
        </w:tblPrEx>
        <w:trPr>
          <w:trHeight w:val="540"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IG</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 xml:space="preserve">Information Governance </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The overall strategy for information at an organisation</w:t>
            </w:r>
          </w:p>
        </w:tc>
      </w:tr>
      <w:tr>
        <w:tblPrEx>
          <w:shd w:val="clear" w:color="auto" w:fill="ced7e7"/>
        </w:tblPrEx>
        <w:trPr>
          <w:trHeight w:val="550"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 xml:space="preserve">LCC </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Leeds City Council</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The local authority of the City of Leeds, West Yorkshire</w:t>
            </w:r>
          </w:p>
        </w:tc>
      </w:tr>
      <w:tr>
        <w:tblPrEx>
          <w:shd w:val="clear" w:color="auto" w:fill="ced7e7"/>
        </w:tblPrEx>
        <w:trPr>
          <w:trHeight w:val="812"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LCF</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Leeds Community Foundation</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An organisation that supports thousands of charities and voluntary groups across the city by distributing grants and sharing advice</w:t>
            </w:r>
          </w:p>
        </w:tc>
      </w:tr>
      <w:tr>
        <w:tblPrEx>
          <w:shd w:val="clear" w:color="auto" w:fill="ced7e7"/>
        </w:tblPrEx>
        <w:trPr>
          <w:trHeight w:val="536"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LCH</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Leeds Community Healthcare</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Provides a range of community-based health services across the Leeds area</w:t>
            </w:r>
          </w:p>
        </w:tc>
      </w:tr>
      <w:tr>
        <w:tblPrEx>
          <w:shd w:val="clear" w:color="auto" w:fill="ced7e7"/>
        </w:tblPrEx>
        <w:trPr>
          <w:trHeight w:val="1364"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 xml:space="preserve">LCP </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Local Care Partnership</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Leeds</w:t>
            </w:r>
            <w:r>
              <w:rPr>
                <w:rFonts w:ascii="Verdana" w:hAnsi="Verdana" w:hint="default"/>
                <w:sz w:val="20"/>
                <w:szCs w:val="20"/>
                <w:shd w:val="nil" w:color="auto" w:fill="auto"/>
                <w:rtl w:val="0"/>
                <w:lang w:val="en-US"/>
              </w:rPr>
              <w:t xml:space="preserve">’ </w:t>
            </w:r>
            <w:r>
              <w:rPr>
                <w:rFonts w:ascii="Verdana" w:hAnsi="Verdana"/>
                <w:sz w:val="20"/>
                <w:szCs w:val="20"/>
                <w:shd w:val="nil" w:color="auto" w:fill="auto"/>
                <w:rtl w:val="0"/>
                <w:lang w:val="en-US"/>
              </w:rPr>
              <w:t>model of joined-up working formed around Primary Care Networks to improve health and care delivery to local people, working in and with local communities. We have 19 across Leeds</w:t>
            </w:r>
          </w:p>
        </w:tc>
      </w:tr>
      <w:tr>
        <w:tblPrEx>
          <w:shd w:val="clear" w:color="auto" w:fill="ced7e7"/>
        </w:tblPrEx>
        <w:trPr>
          <w:trHeight w:val="460"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LD</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Learning Disability</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812"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LeDeR</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 xml:space="preserve">Learning Disability Mortality Review </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National programme aimed at making improvements to the lives of people with learning disabilities</w:t>
            </w:r>
          </w:p>
        </w:tc>
      </w:tr>
      <w:tr>
        <w:tblPrEx>
          <w:shd w:val="clear" w:color="auto" w:fill="ced7e7"/>
        </w:tblPrEx>
        <w:trPr>
          <w:trHeight w:val="580"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LFP</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 xml:space="preserve">Leeds Frailty Partnership </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192"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LGBT, LGBT+, LGBTQ</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Lesbian Gay Bisexual Trans, 'plus' (referencing that there are many other identities within the community), Queer/Questioning</w:t>
            </w:r>
            <w:r>
              <w:rPr>
                <w:rFonts w:ascii="Verdana" w:cs="Verdana" w:hAnsi="Verdana" w:eastAsia="Verdana"/>
                <w:sz w:val="20"/>
                <w:szCs w:val="20"/>
                <w:shd w:val="nil" w:color="auto" w:fill="auto"/>
              </w:rPr>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812"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LIP</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Leeds Involving People</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Leeds Organisation set up to support service user and carer involvement in planning community care services</w:t>
            </w:r>
          </w:p>
        </w:tc>
      </w:tr>
      <w:tr>
        <w:tblPrEx>
          <w:shd w:val="clear" w:color="auto" w:fill="ced7e7"/>
        </w:tblPrEx>
        <w:trPr>
          <w:trHeight w:val="812"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 xml:space="preserve">LL </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Linking Leeds</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Leeds</w:t>
            </w:r>
            <w:r>
              <w:rPr>
                <w:rFonts w:ascii="Verdana" w:hAnsi="Verdana" w:hint="default"/>
                <w:sz w:val="20"/>
                <w:szCs w:val="20"/>
                <w:shd w:val="nil" w:color="auto" w:fill="auto"/>
                <w:rtl w:val="0"/>
                <w:lang w:val="en-US"/>
              </w:rPr>
              <w:t xml:space="preserve">’ </w:t>
            </w:r>
            <w:r>
              <w:rPr>
                <w:rFonts w:ascii="Verdana" w:hAnsi="Verdana"/>
                <w:sz w:val="20"/>
                <w:szCs w:val="20"/>
                <w:shd w:val="nil" w:color="auto" w:fill="auto"/>
                <w:rtl w:val="0"/>
                <w:lang w:val="en-US"/>
              </w:rPr>
              <w:t>Social Prescribing Service commissioned from the Third Sector by the CCG</w:t>
            </w:r>
          </w:p>
        </w:tc>
      </w:tr>
      <w:tr>
        <w:tblPrEx>
          <w:shd w:val="clear" w:color="auto" w:fill="ced7e7"/>
        </w:tblPrEx>
        <w:trPr>
          <w:trHeight w:val="1364"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LMWBS</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 xml:space="preserve">Leeds Mental Wellbeing Service </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A joint service between NHS partners and third sector organisations providing support and psychological therapies for mental health problems. Formerly known as IAPT (see above)</w:t>
            </w:r>
          </w:p>
        </w:tc>
      </w:tr>
      <w:tr>
        <w:tblPrEx>
          <w:shd w:val="clear" w:color="auto" w:fill="ced7e7"/>
        </w:tblPrEx>
        <w:trPr>
          <w:trHeight w:val="1088"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LOOP</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Leeds Open Online Platform</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A single source of accurate, up to date and trusted information about health, care and wellbeing, shared with directories, websites and applications across Leeds</w:t>
            </w:r>
          </w:p>
        </w:tc>
      </w:tr>
      <w:tr>
        <w:tblPrEx>
          <w:shd w:val="clear" w:color="auto" w:fill="ced7e7"/>
        </w:tblPrEx>
        <w:trPr>
          <w:trHeight w:val="1506"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LOPF</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Leeds Older People</w:t>
            </w:r>
            <w:r>
              <w:rPr>
                <w:rFonts w:ascii="Verdana" w:hAnsi="Verdana" w:hint="default"/>
                <w:sz w:val="20"/>
                <w:szCs w:val="20"/>
                <w:shd w:val="nil" w:color="auto" w:fill="auto"/>
                <w:rtl w:val="0"/>
                <w:lang w:val="en-US"/>
              </w:rPr>
              <w:t>’</w:t>
            </w:r>
            <w:r>
              <w:rPr>
                <w:rFonts w:ascii="Verdana" w:hAnsi="Verdana"/>
                <w:sz w:val="20"/>
                <w:szCs w:val="20"/>
                <w:shd w:val="nil" w:color="auto" w:fill="auto"/>
                <w:rtl w:val="0"/>
                <w:lang w:val="en-US"/>
              </w:rPr>
              <w:t>s Forum</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The network of voluntary sector organisations and individuals working with older people across Leeds, including the Neighbourhood Network Schemes. Part of the Forum Central partnership</w:t>
            </w:r>
          </w:p>
        </w:tc>
      </w:tr>
      <w:tr>
        <w:tblPrEx>
          <w:shd w:val="clear" w:color="auto" w:fill="ced7e7"/>
        </w:tblPrEx>
        <w:trPr>
          <w:trHeight w:val="812"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spacing w:line="276" w:lineRule="auto"/>
            </w:pPr>
            <w:r>
              <w:rPr>
                <w:rFonts w:ascii="Verdana" w:hAnsi="Verdana"/>
                <w:sz w:val="20"/>
                <w:szCs w:val="20"/>
                <w:shd w:val="nil" w:color="auto" w:fill="auto"/>
                <w:rtl w:val="0"/>
                <w:lang w:val="en-US"/>
              </w:rPr>
              <w:t>LSSPG</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outline w:val="0"/>
                <w:color w:val="202124"/>
                <w:sz w:val="20"/>
                <w:szCs w:val="20"/>
                <w:u w:color="202124"/>
                <w:shd w:val="clear" w:color="auto" w:fill="ffffff"/>
                <w:rtl w:val="0"/>
                <w:lang w:val="en-US"/>
                <w14:textFill>
                  <w14:solidFill>
                    <w14:srgbClr w14:val="202124"/>
                  </w14:solidFill>
                </w14:textFill>
              </w:rPr>
              <w:t>Leeds Strategic Suicide Prevention Group</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719"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spacing w:line="276" w:lineRule="auto"/>
            </w:pPr>
            <w:r>
              <w:rPr>
                <w:rFonts w:ascii="Verdana" w:hAnsi="Verdana"/>
                <w:sz w:val="20"/>
                <w:szCs w:val="20"/>
                <w:shd w:val="nil" w:color="auto" w:fill="auto"/>
                <w:rtl w:val="0"/>
                <w:lang w:val="en-US"/>
              </w:rPr>
              <w:t>LTC</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Long-Term Conditions</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088"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LTHT</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Leeds Teaching Hospitals NHS Trust</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Provides healthcare and specialist services for people from Leeds, Yorkshire and the Humber and beyond; spread over seven hospitals and medical facilities including St James</w:t>
            </w:r>
            <w:r>
              <w:rPr>
                <w:rFonts w:ascii="Verdana" w:hAnsi="Verdana" w:hint="default"/>
                <w:sz w:val="20"/>
                <w:szCs w:val="20"/>
                <w:shd w:val="nil" w:color="auto" w:fill="auto"/>
                <w:rtl w:val="0"/>
                <w:lang w:val="en-US"/>
              </w:rPr>
              <w:t xml:space="preserve">’ </w:t>
            </w:r>
            <w:r>
              <w:rPr>
                <w:rFonts w:ascii="Verdana" w:hAnsi="Verdana"/>
                <w:sz w:val="20"/>
                <w:szCs w:val="20"/>
                <w:shd w:val="nil" w:color="auto" w:fill="auto"/>
                <w:rtl w:val="0"/>
                <w:lang w:val="en-US"/>
              </w:rPr>
              <w:t>and LGI</w:t>
            </w:r>
          </w:p>
        </w:tc>
      </w:tr>
      <w:tr>
        <w:tblPrEx>
          <w:shd w:val="clear" w:color="auto" w:fill="ced7e7"/>
        </w:tblPrEx>
        <w:trPr>
          <w:trHeight w:val="540"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 xml:space="preserve">LWL </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Live Well Leeds</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Community Based Mental Health Service</w:t>
            </w:r>
          </w:p>
        </w:tc>
      </w:tr>
      <w:tr>
        <w:tblPrEx>
          <w:shd w:val="clear" w:color="auto" w:fill="ced7e7"/>
        </w:tblPrEx>
        <w:trPr>
          <w:trHeight w:val="812"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LYPFT</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Leeds and York Partnership Foundation Trust</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Secondary Providers of mental health and learning disabilities services in Leeds</w:t>
            </w:r>
          </w:p>
        </w:tc>
      </w:tr>
      <w:tr>
        <w:tblPrEx>
          <w:shd w:val="clear" w:color="auto" w:fill="ced7e7"/>
        </w:tblPrEx>
        <w:trPr>
          <w:trHeight w:val="812"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MAP</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Migrant Access Project</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A citizen-led initiative to build relationships between newly arrived migrants and service providers in Leeds</w:t>
            </w:r>
          </w:p>
        </w:tc>
      </w:tr>
      <w:tr>
        <w:tblPrEx>
          <w:shd w:val="clear" w:color="auto" w:fill="ced7e7"/>
        </w:tblPrEx>
        <w:trPr>
          <w:trHeight w:val="460"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MH</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 xml:space="preserve">Mental Health </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84"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MHPB</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Mental Health Partnership Board</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40"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NHS</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National Health Service</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40"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NHSE</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National Health Service England</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812"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NICE</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National Institute for Health and Care Excellence</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Provides national guidance and advice to improve health and social care</w:t>
            </w:r>
          </w:p>
        </w:tc>
      </w:tr>
      <w:tr>
        <w:tblPrEx>
          <w:shd w:val="clear" w:color="auto" w:fill="ced7e7"/>
        </w:tblPrEx>
        <w:trPr>
          <w:trHeight w:val="540"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NIHR</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National Institute for Health Research</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A United Kingdom government agency which funds research into health and care</w:t>
            </w:r>
          </w:p>
        </w:tc>
      </w:tr>
      <w:tr>
        <w:tblPrEx>
          <w:shd w:val="clear" w:color="auto" w:fill="ced7e7"/>
        </w:tblPrEx>
        <w:trPr>
          <w:trHeight w:val="1088"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 xml:space="preserve">NN, NNS </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Neighbourhood Networks, Neighbourhood Network Scheme</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The Leeds model of voluntary sector organisations supporting older people  covering the whole city; sometimes referred to as good neighbours schemes</w:t>
            </w:r>
          </w:p>
        </w:tc>
      </w:tr>
      <w:tr>
        <w:tblPrEx>
          <w:shd w:val="clear" w:color="auto" w:fill="ced7e7"/>
        </w:tblPrEx>
        <w:trPr>
          <w:trHeight w:val="540"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OP</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 xml:space="preserve">Older People </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640"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PCN</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Primary Care Network</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The new way for local health services to work together to treat populations of around 30-50,000. The networks provide the structure and funding for services to be developed locally, in response to the needs of the patients they serve</w:t>
            </w:r>
          </w:p>
        </w:tc>
      </w:tr>
      <w:tr>
        <w:tblPrEx>
          <w:shd w:val="clear" w:color="auto" w:fill="ced7e7"/>
        </w:tblPrEx>
        <w:trPr>
          <w:trHeight w:val="536"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PCWBS</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Primary Care Wellbeing Service</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812"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 xml:space="preserve">PEG </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Leeds Health and Care Partnership Executive Group</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Group of the Leeds Health and Wellbeing Board</w:t>
            </w:r>
          </w:p>
        </w:tc>
      </w:tr>
      <w:tr>
        <w:tblPrEx>
          <w:shd w:val="clear" w:color="auto" w:fill="ced7e7"/>
        </w:tblPrEx>
        <w:trPr>
          <w:trHeight w:val="540"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 xml:space="preserve">PH </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Public Health</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36"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PH LCC</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Public Health Leeds City Council</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36"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PHM</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Population Health Management</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Verdana" w:hAnsi="Verdana"/>
                <w:sz w:val="20"/>
                <w:szCs w:val="20"/>
                <w:shd w:val="nil" w:color="auto" w:fill="auto"/>
                <w:rtl w:val="0"/>
                <w:lang w:val="en-US"/>
              </w:rPr>
              <w:t>A patient centric, data driven approach to improving the health of a population</w:t>
            </w:r>
          </w:p>
        </w:tc>
      </w:tr>
      <w:tr>
        <w:tblPrEx>
          <w:shd w:val="clear" w:color="auto" w:fill="ced7e7"/>
        </w:tblPrEx>
        <w:trPr>
          <w:trHeight w:val="812"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PHRC</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Public Health Resource Centre</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Offers support to anyone with a responsibility for or professional interest in public health or promoting health and wellbeing in Leeds</w:t>
            </w:r>
          </w:p>
        </w:tc>
      </w:tr>
      <w:tr>
        <w:tblPrEx>
          <w:shd w:val="clear" w:color="auto" w:fill="ced7e7"/>
        </w:tblPrEx>
        <w:trPr>
          <w:trHeight w:val="625"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PID</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 xml:space="preserve">Project Initiation Document </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625"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PLWD</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People Living with Dementia</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625"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PPI</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Patient Participation and Involvement</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625"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PSI</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Physical and Sensory Impairment</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093"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PVG</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People's Voices Group</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Verdana" w:hAnsi="Verdana"/>
                <w:sz w:val="20"/>
                <w:szCs w:val="20"/>
                <w:shd w:val="nil" w:color="auto" w:fill="auto"/>
                <w:rtl w:val="0"/>
                <w:lang w:val="en-US"/>
              </w:rPr>
              <w:t>Set up by the Leeds Health and Wellbeing Board to help improve engagement across the City with health and care organisations, coordinated by Healthwatch</w:t>
            </w:r>
          </w:p>
        </w:tc>
      </w:tr>
      <w:tr>
        <w:tblPrEx>
          <w:shd w:val="clear" w:color="auto" w:fill="ced7e7"/>
        </w:tblPrEx>
        <w:trPr>
          <w:trHeight w:val="913"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SEYH</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Social Enterprise Yorkshire and the Humber</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The membership organisation of social enterprises or associates with an interest in the sector for Yorkshire and the Humber</w:t>
            </w:r>
          </w:p>
        </w:tc>
      </w:tr>
      <w:tr>
        <w:tblPrEx>
          <w:shd w:val="clear" w:color="auto" w:fill="ced7e7"/>
        </w:tblPrEx>
        <w:trPr>
          <w:trHeight w:val="980"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SoF</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 xml:space="preserve">Shaping Our Future </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Verdana" w:hAnsi="Verdana"/>
                <w:sz w:val="20"/>
                <w:szCs w:val="20"/>
                <w:shd w:val="nil" w:color="auto" w:fill="auto"/>
                <w:rtl w:val="0"/>
                <w:lang w:val="en-US"/>
              </w:rPr>
              <w:t>Leeds CCG</w:t>
            </w:r>
            <w:r>
              <w:rPr>
                <w:rFonts w:ascii="Verdana" w:hAnsi="Verdana" w:hint="default"/>
                <w:sz w:val="20"/>
                <w:szCs w:val="20"/>
                <w:shd w:val="nil" w:color="auto" w:fill="auto"/>
                <w:rtl w:val="0"/>
                <w:lang w:val="en-US"/>
              </w:rPr>
              <w:t>’</w:t>
            </w:r>
            <w:r>
              <w:rPr>
                <w:rFonts w:ascii="Verdana" w:hAnsi="Verdana"/>
                <w:sz w:val="20"/>
                <w:szCs w:val="20"/>
                <w:shd w:val="nil" w:color="auto" w:fill="auto"/>
                <w:rtl w:val="0"/>
                <w:lang w:val="en-US"/>
              </w:rPr>
              <w:t>s programme developed in response to the national and local direction of travel towards more strategic commissioning for population outcomes</w:t>
            </w:r>
          </w:p>
        </w:tc>
      </w:tr>
      <w:tr>
        <w:tblPrEx>
          <w:shd w:val="clear" w:color="auto" w:fill="ced7e7"/>
        </w:tblPrEx>
        <w:trPr>
          <w:trHeight w:val="540"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 xml:space="preserve">SRO </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Senior Responsible Officer</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40"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TNLCF</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The National Lottery Community Fund</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358"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TOR</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Terms of Reference</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Define the purpose and structures of a project, committee, meeting, negotiation, or any similar collection of people who have agreed to work together to accomplish a shared goal</w:t>
            </w:r>
          </w:p>
        </w:tc>
      </w:tr>
      <w:tr>
        <w:tblPrEx>
          <w:shd w:val="clear" w:color="auto" w:fill="ced7e7"/>
        </w:tblPrEx>
        <w:trPr>
          <w:trHeight w:val="925"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TS</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Third Sector</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 xml:space="preserve">A term used to refer to charities, social enterprises and voluntary groups. Also known as voluntary or not for profit sector </w:t>
            </w:r>
          </w:p>
        </w:tc>
      </w:tr>
      <w:tr>
        <w:tblPrEx>
          <w:shd w:val="clear" w:color="auto" w:fill="ced7e7"/>
        </w:tblPrEx>
        <w:trPr>
          <w:trHeight w:val="669"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TSL</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Third Sector Leeds</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An alliance that promotes, represents and advocates for the Third Sector in Leeds</w:t>
            </w:r>
          </w:p>
        </w:tc>
      </w:tr>
      <w:tr>
        <w:tblPrEx>
          <w:shd w:val="clear" w:color="auto" w:fill="ced7e7"/>
        </w:tblPrEx>
        <w:trPr>
          <w:trHeight w:val="1916"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TSL</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Targeted Services Leader (in Cluster Services context)</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Clusters are groups of professionals (schools, social workers, housing etc.) who coordinate services for families in their local areas. Each cluster has a Targeted Services Leader, who makes sure clusters work together and young people and families can access their services effectively</w:t>
            </w:r>
          </w:p>
        </w:tc>
      </w:tr>
      <w:tr>
        <w:tblPrEx>
          <w:shd w:val="clear" w:color="auto" w:fill="ced7e7"/>
        </w:tblPrEx>
        <w:trPr>
          <w:trHeight w:val="640"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TSO's</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 xml:space="preserve">Third Sector Organisations </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Organisations working in the Third Sector (see above)</w:t>
            </w:r>
          </w:p>
        </w:tc>
      </w:tr>
      <w:tr>
        <w:tblPrEx>
          <w:shd w:val="clear" w:color="auto" w:fill="ced7e7"/>
        </w:tblPrEx>
        <w:trPr>
          <w:trHeight w:val="1200"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TTS</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Time To Shine</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The National Lottery Community Fund programme aiming to reduce social isolation and loneliness amongst older people in Leeds, led by Leeds Older People</w:t>
            </w:r>
            <w:r>
              <w:rPr>
                <w:rFonts w:ascii="Verdana" w:hAnsi="Verdana" w:hint="default"/>
                <w:sz w:val="20"/>
                <w:szCs w:val="20"/>
                <w:shd w:val="nil" w:color="auto" w:fill="auto"/>
                <w:rtl w:val="0"/>
                <w:lang w:val="en-US"/>
              </w:rPr>
              <w:t>’</w:t>
            </w:r>
            <w:r>
              <w:rPr>
                <w:rFonts w:ascii="Verdana" w:hAnsi="Verdana"/>
                <w:sz w:val="20"/>
                <w:szCs w:val="20"/>
                <w:shd w:val="nil" w:color="auto" w:fill="auto"/>
                <w:rtl w:val="0"/>
                <w:lang w:val="en-US"/>
              </w:rPr>
              <w:t>s Forum</w:t>
            </w:r>
          </w:p>
        </w:tc>
      </w:tr>
      <w:tr>
        <w:tblPrEx>
          <w:shd w:val="clear" w:color="auto" w:fill="ced7e7"/>
        </w:tblPrEx>
        <w:trPr>
          <w:trHeight w:val="1364"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VAL</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Voluntary Action Leeds</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The Leeds-wide infrastructure charity that supports 3k different not for profit organisations. VAL supports communities by helping people and organisations that do good in Leeds</w:t>
            </w:r>
          </w:p>
        </w:tc>
      </w:tr>
      <w:tr>
        <w:tblPrEx>
          <w:shd w:val="clear" w:color="auto" w:fill="ced7e7"/>
        </w:tblPrEx>
        <w:trPr>
          <w:trHeight w:val="812"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spacing w:line="276" w:lineRule="auto"/>
            </w:pPr>
            <w:r>
              <w:rPr>
                <w:rFonts w:ascii="Verdana" w:hAnsi="Verdana"/>
                <w:sz w:val="20"/>
                <w:szCs w:val="20"/>
                <w:shd w:val="nil" w:color="auto" w:fill="auto"/>
                <w:rtl w:val="0"/>
                <w:lang w:val="en-US"/>
              </w:rPr>
              <w:t>VCSE</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Voluntary, Community and Social Enterprise Sector</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Also referred to as the Third Sector</w:t>
            </w:r>
          </w:p>
        </w:tc>
      </w:tr>
      <w:tr>
        <w:tblPrEx>
          <w:shd w:val="clear" w:color="auto" w:fill="ced7e7"/>
        </w:tblPrEx>
        <w:trPr>
          <w:trHeight w:val="536"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 xml:space="preserve">WYH </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West Yorkshire and Harrogate Level</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Also referred to as ICS (see above)</w:t>
            </w:r>
          </w:p>
        </w:tc>
      </w:tr>
      <w:tr>
        <w:tblPrEx>
          <w:shd w:val="clear" w:color="auto" w:fill="ced7e7"/>
        </w:tblPrEx>
        <w:trPr>
          <w:trHeight w:val="812"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WYHCP, WY&amp;H H&amp;CP</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West Yorkshire (and Harrogate) Health and Care Partnership</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76" w:lineRule="auto"/>
            </w:pPr>
            <w:r>
              <w:rPr>
                <w:rFonts w:ascii="Verdana" w:hAnsi="Verdana"/>
                <w:sz w:val="20"/>
                <w:szCs w:val="20"/>
                <w:shd w:val="nil" w:color="auto" w:fill="auto"/>
                <w:rtl w:val="0"/>
                <w:lang w:val="en-US"/>
              </w:rPr>
              <w:t>A partnership of organisations working together to plan health and care services across the region</w:t>
            </w:r>
          </w:p>
        </w:tc>
      </w:tr>
    </w:tbl>
    <w:p>
      <w:pPr>
        <w:pStyle w:val="Body"/>
        <w:widowControl w:val="0"/>
        <w:ind w:left="616" w:hanging="616"/>
      </w:pPr>
      <w:r>
        <w:rPr>
          <w:rFonts w:ascii="Verdana" w:cs="Verdana" w:hAnsi="Verdana" w:eastAsia="Verdana"/>
          <w:b w:val="1"/>
          <w:bCs w:val="1"/>
          <w:caps w:val="0"/>
          <w:smallCaps w:val="0"/>
          <w:strike w:val="0"/>
          <w:dstrike w:val="0"/>
          <w:outline w:val="0"/>
          <w:color w:val="000000"/>
          <w:sz w:val="20"/>
          <w:szCs w:val="20"/>
          <w:u w:val="single" w:color="000000"/>
          <w:shd w:val="nil" w:color="auto" w:fill="auto"/>
          <w:vertAlign w:val="baseline"/>
          <w14:textFill>
            <w14:solidFill>
              <w14:srgbClr w14:val="000000"/>
            </w14:solidFill>
          </w14:textFill>
        </w:rPr>
      </w:r>
    </w:p>
    <w:sectPr>
      <w:headerReference w:type="default" r:id="rId5"/>
      <w:headerReference w:type="first" r:id="rId6"/>
      <w:footerReference w:type="default" r:id="rId7"/>
      <w:footerReference w:type="first" r:id="rId8"/>
      <w:pgSz w:w="11900" w:h="16840" w:orient="portrait"/>
      <w:pgMar w:top="850" w:right="850" w:bottom="850" w:left="850" w:header="72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pPr>
    <w:r>
      <w:rPr>
        <w:rFonts w:ascii="Verdana" w:hAnsi="Verdana"/>
        <w:sz w:val="20"/>
        <w:szCs w:val="20"/>
        <w:rtl w:val="0"/>
      </w:rPr>
      <w:t>V2_05/02/2021</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